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F8E" w14:textId="77777777" w:rsidR="00142DE6" w:rsidRDefault="00AE1130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КЛАССНОМУ РУКОВОДИТЕЛЮ ПО СИТУАЦИИ</w:t>
      </w:r>
    </w:p>
    <w:p w14:paraId="486CF103" w14:textId="77777777" w:rsidR="00142DE6" w:rsidRDefault="00AE1130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ТРАВЛЯ </w:t>
      </w:r>
    </w:p>
    <w:p w14:paraId="1666E58C" w14:textId="77777777" w:rsidR="00142DE6" w:rsidRDefault="00142DE6">
      <w:pPr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tag w:val="goog_rdk_0"/>
        <w:id w:val="-1158458355"/>
        <w:lock w:val="contentLocked"/>
      </w:sdtPr>
      <w:sdtEndPr/>
      <w:sdtContent>
        <w:tbl>
          <w:tblPr>
            <w:tblStyle w:val="af3"/>
            <w:tblW w:w="1429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295"/>
            <w:gridCol w:w="4500"/>
            <w:gridCol w:w="4500"/>
          </w:tblGrid>
          <w:tr w:rsidR="00142DE6" w14:paraId="541D6232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80DD17" w14:textId="77777777" w:rsidR="00142DE6" w:rsidRDefault="00AE113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С классом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AE7BCB" w14:textId="77777777" w:rsidR="00142DE6" w:rsidRDefault="00AE113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С жертвой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CFFCAD" w14:textId="77777777" w:rsidR="00142DE6" w:rsidRDefault="00AE113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С агрессором </w:t>
                </w:r>
              </w:p>
            </w:tc>
          </w:tr>
          <w:tr w:rsidR="00142DE6" w14:paraId="2297C5C5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4D00D8" w14:textId="77777777" w:rsidR="00142DE6" w:rsidRDefault="00AE113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38761D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Мониторинг еженедельной динамики развития ситуации по чек-листу</w:t>
                </w:r>
                <w:r>
                  <w:rPr>
                    <w:rFonts w:ascii="Times New Roman" w:eastAsia="Times New Roman" w:hAnsi="Times New Roman" w:cs="Times New Roman"/>
                    <w:color w:val="38761D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26086E" w14:textId="77777777" w:rsidR="00142DE6" w:rsidRDefault="00AE1130">
                <w:pPr>
                  <w:widowControl w:val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Мониторинг динамики эмоциональных и поведенческих индивидуальных проявлений ребенка по чек-листу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1E3302" w14:textId="77777777" w:rsidR="00142DE6" w:rsidRDefault="00AE113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Включение ребенка в групповую деятельность класса и школы в </w:t>
                </w:r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>помогающей роли</w:t>
                </w:r>
              </w:p>
            </w:tc>
          </w:tr>
          <w:tr w:rsidR="00142DE6" w14:paraId="5B26B5BE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8ADBBA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 случае негативной динамики развития ситуации-своевременное информирование администрации и педагогической команды школы (социальный педагог, педагог-психолог)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1C3B25" w14:textId="77777777" w:rsidR="00142DE6" w:rsidRDefault="00AE1130">
                <w:pPr>
                  <w:widowControl w:val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Отсутствие особого отношения в адрес ребенка (отсутствие фокуса/акцента на травматическом опыте)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15ECB5" w14:textId="77777777" w:rsidR="00142DE6" w:rsidRDefault="00AE1130">
                <w:pPr>
                  <w:widowControl w:val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Мониторинг динамики проявлений поведения ребенка по чек-листу</w:t>
                </w:r>
              </w:p>
            </w:tc>
          </w:tr>
          <w:tr w:rsidR="00142DE6" w14:paraId="6A434666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1719A1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Обозначение совместно с детьми четких правил класса и установление договоренности об их соблюдении (формат классного часа)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3F2D00" w14:textId="77777777" w:rsidR="00142DE6" w:rsidRDefault="00AE113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Включение ребенка во внеурочную деятельность в равной позиции в соответствии с его интересами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AE280D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Незамедлительное реагирование и пресечение неконструктивных действий со стороны агрессора</w:t>
                </w:r>
              </w:p>
            </w:tc>
          </w:tr>
          <w:tr w:rsidR="00142DE6" w14:paraId="6D934798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F0A26E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Организация актива класса, которые информируют классного руководителя  в случае обострения ситуации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941499" w14:textId="77777777" w:rsidR="00142DE6" w:rsidRDefault="00AE113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Мягкое разведение жертвы и агрессора в разные группы/подгруппы при совместной деятельности 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E72C18" w14:textId="77777777" w:rsidR="00142DE6" w:rsidRDefault="00AE1130">
                <w:pPr>
                  <w:widowControl w:val="0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Контроль участия обучающегося в  дополнительном образовании</w:t>
                </w:r>
              </w:p>
            </w:tc>
          </w:tr>
          <w:tr w:rsidR="00142DE6" w14:paraId="4E64767F" w14:textId="77777777">
            <w:trPr>
              <w:trHeight w:val="1800"/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2E78DF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Незамедлительное реагирование и пресечение неконструктивных действий со стороны участников буллинга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DFD727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 случае негативной динамики развития ситуации-своевременное информирование администрации, педагога-психолога и педагогической команды школы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4DF2B2" w14:textId="77777777" w:rsidR="00142DE6" w:rsidRDefault="00AE1130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Не выделять агрессора в определенную категорию, не делать его особенным. </w:t>
                </w:r>
              </w:p>
            </w:tc>
          </w:tr>
          <w:tr w:rsidR="00142DE6" w14:paraId="047E3C7C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22CC2F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Формирование коммуникативной культуры и развитие навыков командообразования/сплочения через совместную деятельность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003669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Регулярное использование во внеурочной деятельности педагогических приемов, направленных, на формирование и развитие личностных УУД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34466B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Регулярное использование во внеурочной деятельности педагогических приемов, направленных, на формирование и развитие регулятивных УУД</w:t>
                </w:r>
              </w:p>
            </w:tc>
          </w:tr>
          <w:tr w:rsidR="00142DE6" w14:paraId="220D2787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E30AB4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Вовлечение обучающихся в  позитивную дополнительную деятельность, отвечающую интересам детей. (волонтерское движение, ШСП)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1E9B4C" w14:textId="77777777" w:rsidR="00142DE6" w:rsidRDefault="00142D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38687C" w14:textId="77777777" w:rsidR="00142DE6" w:rsidRDefault="00AE1130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Проговаривать последствия за его возможное агрессивное поведение </w:t>
                </w:r>
              </w:p>
            </w:tc>
          </w:tr>
          <w:tr w:rsidR="00142DE6" w14:paraId="0546FC62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B22EA5" w14:textId="77777777" w:rsidR="00142DE6" w:rsidRDefault="00AE1130">
                <w:pPr>
                  <w:widowControl w:val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Оценка ситуации, а не личности детей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B47084" w14:textId="77777777" w:rsidR="00142DE6" w:rsidRDefault="00142D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4D6C78" w14:textId="77777777" w:rsidR="00142DE6" w:rsidRDefault="00142D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142DE6" w14:paraId="0E30CCA2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4CE557" w14:textId="77777777" w:rsidR="00142DE6" w:rsidRDefault="00AE1130">
                <w:pPr>
                  <w:widowControl w:val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Развитие навыков критического мышления во внеурочной деятельности через решение кейсовых ситуаций, касающихся межличностного взаимодействия.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06F4C1" w14:textId="77777777" w:rsidR="00142DE6" w:rsidRDefault="00142D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E841CA" w14:textId="77777777" w:rsidR="00142DE6" w:rsidRDefault="00E76C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</w:sdtContent>
    </w:sdt>
    <w:p w14:paraId="01272C10" w14:textId="77777777" w:rsidR="00142DE6" w:rsidRDefault="00142DE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6D200AF" w14:textId="77777777" w:rsidR="00142DE6" w:rsidRDefault="00142DE6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10D1F" w14:textId="77777777" w:rsidR="00142DE6" w:rsidRDefault="00142D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113181" w14:textId="77777777" w:rsidR="00142DE6" w:rsidRDefault="00142D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A51A80" w14:textId="77777777" w:rsidR="00142DE6" w:rsidRDefault="00142DE6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F66510" w14:textId="77777777" w:rsidR="00142DE6" w:rsidRPr="00AE1130" w:rsidRDefault="00142DE6">
      <w:pPr>
        <w:rPr>
          <w:rFonts w:ascii="Times New Roman" w:eastAsia="Times New Roman" w:hAnsi="Times New Roman" w:cs="Times New Roman"/>
          <w:b/>
        </w:rPr>
      </w:pPr>
    </w:p>
    <w:p w14:paraId="06C7B86F" w14:textId="77777777" w:rsidR="00E76C48" w:rsidRDefault="00E76C48">
      <w:pPr>
        <w:ind w:left="360"/>
        <w:jc w:val="center"/>
        <w:rPr>
          <w:rFonts w:ascii="Times New Roman" w:eastAsia="Times New Roman" w:hAnsi="Times New Roman" w:cs="Times New Roman"/>
          <w:b/>
        </w:rPr>
      </w:pPr>
    </w:p>
    <w:p w14:paraId="5EF32DCE" w14:textId="77777777" w:rsidR="00E76C48" w:rsidRDefault="00E76C48">
      <w:pPr>
        <w:ind w:left="360"/>
        <w:jc w:val="center"/>
        <w:rPr>
          <w:rFonts w:ascii="Times New Roman" w:eastAsia="Times New Roman" w:hAnsi="Times New Roman" w:cs="Times New Roman"/>
          <w:b/>
        </w:rPr>
      </w:pPr>
    </w:p>
    <w:p w14:paraId="7A8FD201" w14:textId="5C56B19F" w:rsidR="00142DE6" w:rsidRPr="00AE1130" w:rsidRDefault="00AE1130">
      <w:pPr>
        <w:ind w:left="360"/>
        <w:jc w:val="center"/>
        <w:rPr>
          <w:rFonts w:ascii="Times New Roman" w:eastAsia="Times New Roman" w:hAnsi="Times New Roman" w:cs="Times New Roman"/>
          <w:i/>
        </w:rPr>
      </w:pPr>
      <w:r w:rsidRPr="00AE1130">
        <w:rPr>
          <w:rFonts w:ascii="Times New Roman" w:eastAsia="Times New Roman" w:hAnsi="Times New Roman" w:cs="Times New Roman"/>
          <w:b/>
        </w:rPr>
        <w:t>Памятка для классных руководителей.</w:t>
      </w:r>
    </w:p>
    <w:p w14:paraId="7A785D3B" w14:textId="77777777" w:rsidR="00142DE6" w:rsidRPr="00AE1130" w:rsidRDefault="00142DE6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f4"/>
        <w:tblW w:w="138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5"/>
        <w:gridCol w:w="6825"/>
      </w:tblGrid>
      <w:tr w:rsidR="00142DE6" w:rsidRPr="00AE1130" w14:paraId="015C2BF5" w14:textId="77777777">
        <w:tc>
          <w:tcPr>
            <w:tcW w:w="7065" w:type="dxa"/>
            <w:shd w:val="clear" w:color="auto" w:fill="C1F0C8"/>
          </w:tcPr>
          <w:p w14:paraId="769D9DC9" w14:textId="77777777" w:rsidR="00142DE6" w:rsidRPr="00AE1130" w:rsidRDefault="00AE1130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E1130">
              <w:rPr>
                <w:rFonts w:ascii="Times New Roman" w:eastAsia="Times New Roman" w:hAnsi="Times New Roman" w:cs="Times New Roman"/>
                <w:b/>
                <w:i/>
              </w:rPr>
              <w:t xml:space="preserve">Что можно делать </w:t>
            </w:r>
          </w:p>
        </w:tc>
        <w:tc>
          <w:tcPr>
            <w:tcW w:w="6825" w:type="dxa"/>
            <w:shd w:val="clear" w:color="auto" w:fill="F6C6AC"/>
          </w:tcPr>
          <w:p w14:paraId="17BB23E1" w14:textId="77777777" w:rsidR="00142DE6" w:rsidRPr="00AE1130" w:rsidRDefault="00AE1130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E1130">
              <w:rPr>
                <w:rFonts w:ascii="Times New Roman" w:eastAsia="Times New Roman" w:hAnsi="Times New Roman" w:cs="Times New Roman"/>
                <w:b/>
                <w:i/>
              </w:rPr>
              <w:t xml:space="preserve">Что делать нельзя </w:t>
            </w:r>
          </w:p>
        </w:tc>
      </w:tr>
      <w:tr w:rsidR="00142DE6" w:rsidRPr="00AE1130" w14:paraId="4BCAA47F" w14:textId="77777777">
        <w:tc>
          <w:tcPr>
            <w:tcW w:w="7065" w:type="dxa"/>
          </w:tcPr>
          <w:p w14:paraId="480F18D7" w14:textId="77777777" w:rsidR="00142DE6" w:rsidRPr="00AE1130" w:rsidRDefault="00AE1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>Присвоить проблему и определить ответственных за ее разрешение (классных руководитель/педагогическая команда/администрация)</w:t>
            </w:r>
          </w:p>
        </w:tc>
        <w:tc>
          <w:tcPr>
            <w:tcW w:w="6825" w:type="dxa"/>
          </w:tcPr>
          <w:p w14:paraId="0638CAD9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>Ожидать что ситуация пройдет сама собой, не предпринимать никаких шагов, «рассосется»</w:t>
            </w:r>
          </w:p>
        </w:tc>
      </w:tr>
      <w:tr w:rsidR="00142DE6" w:rsidRPr="00AE1130" w14:paraId="3D5792B8" w14:textId="77777777">
        <w:tc>
          <w:tcPr>
            <w:tcW w:w="7065" w:type="dxa"/>
          </w:tcPr>
          <w:p w14:paraId="381588C9" w14:textId="77777777" w:rsidR="00142DE6" w:rsidRPr="00AE1130" w:rsidRDefault="00AE1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 xml:space="preserve">Назвать явление «своими именами» и дать однозначную оценку ситуации буллинга. </w:t>
            </w:r>
          </w:p>
        </w:tc>
        <w:tc>
          <w:tcPr>
            <w:tcW w:w="6825" w:type="dxa"/>
          </w:tcPr>
          <w:p w14:paraId="2D2D4908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 xml:space="preserve">Искать </w:t>
            </w:r>
            <w:r w:rsidRPr="00AE113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оправдания</w:t>
            </w:r>
            <w:r w:rsidRPr="00AE1130">
              <w:rPr>
                <w:rFonts w:ascii="Times New Roman" w:eastAsia="Times New Roman" w:hAnsi="Times New Roman" w:cs="Times New Roman"/>
                <w:color w:val="000000"/>
              </w:rPr>
              <w:t xml:space="preserve"> и объяснения причин буллинга</w:t>
            </w:r>
          </w:p>
        </w:tc>
      </w:tr>
      <w:tr w:rsidR="00142DE6" w:rsidRPr="00AE1130" w14:paraId="320D5EF8" w14:textId="77777777">
        <w:tc>
          <w:tcPr>
            <w:tcW w:w="7065" w:type="dxa"/>
          </w:tcPr>
          <w:p w14:paraId="63A47C60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 xml:space="preserve">Обсуждать буллинг как проблему группы, как групповое явление </w:t>
            </w:r>
          </w:p>
        </w:tc>
        <w:tc>
          <w:tcPr>
            <w:tcW w:w="6825" w:type="dxa"/>
          </w:tcPr>
          <w:p w14:paraId="38445F6B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>Путать буллинг и непопулярность, так как объектом буллинга может выступать и вполне успешный ученик</w:t>
            </w:r>
          </w:p>
        </w:tc>
      </w:tr>
      <w:tr w:rsidR="00142DE6" w:rsidRPr="00AE1130" w14:paraId="7C1435E7" w14:textId="77777777">
        <w:tc>
          <w:tcPr>
            <w:tcW w:w="7065" w:type="dxa"/>
          </w:tcPr>
          <w:p w14:paraId="4601146E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>Активизировать моральное чувство и сформулировать выбор (объяснить детям, что травля — это болезнь без указания конкретных виновников)</w:t>
            </w:r>
          </w:p>
        </w:tc>
        <w:tc>
          <w:tcPr>
            <w:tcW w:w="6825" w:type="dxa"/>
          </w:tcPr>
          <w:p w14:paraId="32798C9D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>Перекладывать ответственность за буллинг на жертву.  Буллинг не может и не должен быть проблемой только жертвы</w:t>
            </w:r>
          </w:p>
        </w:tc>
      </w:tr>
      <w:tr w:rsidR="00142DE6" w:rsidRPr="00AE1130" w14:paraId="0C0B28FE" w14:textId="77777777">
        <w:tc>
          <w:tcPr>
            <w:tcW w:w="7065" w:type="dxa"/>
          </w:tcPr>
          <w:p w14:paraId="2E64DB13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>Сформулировать позитивные правила жизни в группе и заключить контракт (договор)</w:t>
            </w:r>
          </w:p>
        </w:tc>
        <w:tc>
          <w:tcPr>
            <w:tcW w:w="6825" w:type="dxa"/>
          </w:tcPr>
          <w:p w14:paraId="6E3540FD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>Давить на жалость в беседе с обидчиком/обидчиками, говорить с ними с позиции просьб. Мишень беседы – не личность жертвы, а буллинг как явление</w:t>
            </w:r>
          </w:p>
        </w:tc>
      </w:tr>
      <w:tr w:rsidR="00142DE6" w:rsidRPr="00AE1130" w14:paraId="2BBA0320" w14:textId="77777777">
        <w:tc>
          <w:tcPr>
            <w:tcW w:w="7065" w:type="dxa"/>
          </w:tcPr>
          <w:p w14:paraId="23304E26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>Поддерживать позитивные изменения в группе/классе (систематическое воздействие, беседы, регулярные вопросы «как дела», «что удается», «что трудно», «чем помочь»). Использовать технику «Счетчик травли» - использование сосуда или доски, куда каждый ребенок, кто является ситуативной жертвой, может положить камешек или наклеить стикер, например, изображающий грустное выражение лица.</w:t>
            </w:r>
          </w:p>
        </w:tc>
        <w:tc>
          <w:tcPr>
            <w:tcW w:w="6825" w:type="dxa"/>
          </w:tcPr>
          <w:p w14:paraId="0F32D249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правила игры тех, кто занимается буллингом/является инициатором </w:t>
            </w:r>
          </w:p>
        </w:tc>
      </w:tr>
      <w:tr w:rsidR="00142DE6" w:rsidRPr="00AE1130" w14:paraId="31FB72C3" w14:textId="77777777">
        <w:tc>
          <w:tcPr>
            <w:tcW w:w="7065" w:type="dxa"/>
          </w:tcPr>
          <w:p w14:paraId="1A16BCD7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 xml:space="preserve">Гармонизировать иерархию (в группе нет жестко закрепленных ролей «лидеров» и «массовки», гибкое использование ролей по ситуации.  В зависимости от интересов детей – введение ситуативных лидеров (кто в чем больше разбирается или чем заинтересован). </w:t>
            </w:r>
          </w:p>
        </w:tc>
        <w:tc>
          <w:tcPr>
            <w:tcW w:w="6825" w:type="dxa"/>
          </w:tcPr>
          <w:p w14:paraId="75575241" w14:textId="77777777" w:rsidR="00142DE6" w:rsidRPr="00AE1130" w:rsidRDefault="00AE1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130">
              <w:rPr>
                <w:rFonts w:ascii="Times New Roman" w:eastAsia="Times New Roman" w:hAnsi="Times New Roman" w:cs="Times New Roman"/>
                <w:color w:val="000000"/>
              </w:rPr>
              <w:t>Считать буллинг проблемой отдельных личностей, а не всей группы в целом</w:t>
            </w:r>
          </w:p>
        </w:tc>
      </w:tr>
    </w:tbl>
    <w:p w14:paraId="166E7317" w14:textId="77777777" w:rsidR="00142DE6" w:rsidRPr="00AE1130" w:rsidRDefault="00142DE6">
      <w:pPr>
        <w:jc w:val="center"/>
        <w:rPr>
          <w:rFonts w:ascii="Times New Roman" w:eastAsia="Times New Roman" w:hAnsi="Times New Roman" w:cs="Times New Roman"/>
        </w:rPr>
      </w:pPr>
    </w:p>
    <w:p w14:paraId="26420170" w14:textId="77777777" w:rsidR="00142DE6" w:rsidRPr="00AE1130" w:rsidRDefault="00142DE6"/>
    <w:sectPr w:rsidR="00142DE6" w:rsidRPr="00AE1130" w:rsidSect="00E76C48">
      <w:footerReference w:type="default" r:id="rId8"/>
      <w:pgSz w:w="16838" w:h="11906" w:orient="landscape"/>
      <w:pgMar w:top="851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3A398" w14:textId="77777777" w:rsidR="006A1AF9" w:rsidRDefault="00AE1130">
      <w:r>
        <w:separator/>
      </w:r>
    </w:p>
  </w:endnote>
  <w:endnote w:type="continuationSeparator" w:id="0">
    <w:p w14:paraId="5872B2AC" w14:textId="77777777" w:rsidR="006A1AF9" w:rsidRDefault="00AE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F121" w14:textId="77777777" w:rsidR="00142DE6" w:rsidRDefault="00AE1130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810B" w14:textId="77777777" w:rsidR="006A1AF9" w:rsidRDefault="00AE1130">
      <w:r>
        <w:separator/>
      </w:r>
    </w:p>
  </w:footnote>
  <w:footnote w:type="continuationSeparator" w:id="0">
    <w:p w14:paraId="7E57B610" w14:textId="77777777" w:rsidR="006A1AF9" w:rsidRDefault="00AE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288F"/>
    <w:multiLevelType w:val="multilevel"/>
    <w:tmpl w:val="571A01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77A1E"/>
    <w:multiLevelType w:val="multilevel"/>
    <w:tmpl w:val="686684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3709">
    <w:abstractNumId w:val="0"/>
  </w:num>
  <w:num w:numId="2" w16cid:durableId="108268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E6"/>
    <w:rsid w:val="00142DE6"/>
    <w:rsid w:val="006A1AF9"/>
    <w:rsid w:val="00A3638E"/>
    <w:rsid w:val="00AE1130"/>
    <w:rsid w:val="00E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2B2C"/>
  <w15:docId w15:val="{AE98E8B5-DBB7-4F72-9E0F-0A118EA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B61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1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61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61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61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61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61B9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BB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1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61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61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61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61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7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6704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6704B"/>
    <w:rPr>
      <w:color w:val="605E5C"/>
      <w:shd w:val="clear" w:color="auto" w:fill="E1DFDD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E113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E1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WP0XarSIIHnYtDCFlL/pFqdmg==">CgMxLjAaHwoBMBIaChgICVIUChJ0YWJsZS56MmxkMWNuODl3dGw4AHIhMWtUX1RxWS1LcGkxR1dTYkFTZHR5Q2dlblBPaTROWHF3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Громогласов</dc:creator>
  <cp:lastModifiedBy>Чупракова Марина Васильевна</cp:lastModifiedBy>
  <cp:revision>3</cp:revision>
  <cp:lastPrinted>2024-12-23T09:48:00Z</cp:lastPrinted>
  <dcterms:created xsi:type="dcterms:W3CDTF">2024-11-20T08:04:00Z</dcterms:created>
  <dcterms:modified xsi:type="dcterms:W3CDTF">2025-01-21T12:40:00Z</dcterms:modified>
</cp:coreProperties>
</file>